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02">
      <w:pPr>
        <w:ind w:left="0" w:firstLine="0"/>
        <w:jc w:val="left"/>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Press Release, 24 July 2023</w:t>
      </w:r>
    </w:p>
    <w:p w:rsidR="00000000" w:rsidDel="00000000" w:rsidP="00000000" w:rsidRDefault="00000000" w:rsidRPr="00000000" w14:paraId="00000003">
      <w:pPr>
        <w:jc w:val="center"/>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04">
      <w:pPr>
        <w:jc w:val="center"/>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Innovation to foster sustainable food transition in the European Union: the SWITCH Horizon Europe project.</w:t>
      </w:r>
    </w:p>
    <w:p w:rsidR="00000000" w:rsidDel="00000000" w:rsidP="00000000" w:rsidRDefault="00000000" w:rsidRPr="00000000" w14:paraId="00000005">
      <w:pPr>
        <w:jc w:val="center"/>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6 Food Hubs and 20 partners involved in the sustainable transition of European food systems</w:t>
      </w:r>
    </w:p>
    <w:p w:rsidR="00000000" w:rsidDel="00000000" w:rsidP="00000000" w:rsidRDefault="00000000" w:rsidRPr="00000000" w14:paraId="00000006">
      <w:pPr>
        <w:jc w:val="center"/>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07">
      <w:pPr>
        <w:jc w:val="center"/>
        <w:rPr>
          <w:rFonts w:ascii="Rubik Medium" w:cs="Rubik Medium" w:eastAsia="Rubik Medium" w:hAnsi="Rubik Medium"/>
          <w:sz w:val="24"/>
          <w:szCs w:val="24"/>
        </w:rPr>
      </w:pPr>
      <w:r w:rsidDel="00000000" w:rsidR="00000000" w:rsidRPr="00000000">
        <w:rPr>
          <w:rFonts w:ascii="Rubik Medium" w:cs="Rubik Medium" w:eastAsia="Rubik Medium" w:hAnsi="Rubik Medium"/>
          <w:b w:val="1"/>
          <w:bCs w:val="1"/>
          <w:sz w:val="24"/>
          <w:szCs w:val="24"/>
          <w:rtl w:val="0"/>
        </w:rPr>
        <w:t xml:space="preserve">**</w:t>
      </w:r>
      <w:r w:rsidDel="00000000" w:rsidR="00000000" w:rsidRPr="00000000">
        <w:rPr>
          <w:rFonts w:ascii="Rubik" w:cs="Rubik" w:eastAsia="Rubik" w:hAnsi="Rubik"/>
          <w:b w:val="1"/>
          <w:bCs w:val="1"/>
          <w:rtl w:val="0"/>
        </w:rPr>
        <w:t xml:space="preserve">Please cascade as appropriate</w:t>
      </w:r>
      <w:r w:rsidDel="00000000" w:rsidR="00000000" w:rsidRPr="00000000">
        <w:rPr>
          <w:rFonts w:ascii="Rubik Medium" w:cs="Rubik Medium" w:eastAsia="Rubik Medium" w:hAnsi="Rubik Medium"/>
          <w:b w:val="1"/>
          <w:bCs w:val="1"/>
          <w:sz w:val="24"/>
          <w:szCs w:val="24"/>
          <w:rtl w:val="0"/>
        </w:rPr>
        <w:t xml:space="preserve">**</w:t>
      </w:r>
      <w:r w:rsidDel="00000000" w:rsidR="00000000" w:rsidRPr="00000000">
        <w:rPr>
          <w:rtl w:val="0"/>
        </w:rPr>
      </w:r>
    </w:p>
    <w:p w:rsidR="00000000" w:rsidDel="00000000" w:rsidP="00000000" w:rsidRDefault="00000000" w:rsidRPr="00000000" w14:paraId="00000008">
      <w:pPr>
        <w:spacing w:line="240" w:lineRule="auto"/>
        <w:ind w:left="0" w:firstLine="0"/>
        <w:rPr>
          <w:rFonts w:ascii="Nunito Light" w:cs="Nunito Light" w:eastAsia="Nunito Light" w:hAnsi="Nunito Light"/>
        </w:rPr>
      </w:pPr>
      <w:r w:rsidDel="00000000" w:rsidR="00000000" w:rsidRPr="00000000">
        <w:rPr>
          <w:rFonts w:ascii="Nunito Light" w:cs="Nunito Light" w:eastAsia="Nunito Light" w:hAnsi="Nunito Light"/>
          <w:rtl w:val="0"/>
        </w:rPr>
        <w:t xml:space="preserve">Improving European food systems to facilitate a just, healthy and sustainable food transition through knowledge and innovation: this is the goal of the European SWITCH project, funded by Horizon Europe. This is in line with the United Nations Sustainable Development Goals (SDGs).</w:t>
      </w:r>
    </w:p>
    <w:p w:rsidR="00000000" w:rsidDel="00000000" w:rsidP="00000000" w:rsidRDefault="00000000" w:rsidRPr="00000000" w14:paraId="00000009">
      <w:pPr>
        <w:spacing w:line="240" w:lineRule="auto"/>
        <w:ind w:left="0" w:firstLine="0"/>
        <w:rPr>
          <w:rFonts w:ascii="Nunito Light" w:cs="Nunito Light" w:eastAsia="Nunito Light" w:hAnsi="Nunito Light"/>
        </w:rPr>
      </w:pPr>
      <w:r w:rsidDel="00000000" w:rsidR="00000000" w:rsidRPr="00000000">
        <w:rPr>
          <w:rFonts w:ascii="Nunito Light" w:cs="Nunito Light" w:eastAsia="Nunito Light" w:hAnsi="Nunito Light"/>
          <w:rtl w:val="0"/>
        </w:rPr>
        <w:t xml:space="preserve">In-depth research, a scientific approach and systematic use of technologies - along the entire food supply chain, from production to consumption - will be instrumental in developing wider awareness and uptake of healthy and sustainable food systems in the European Union and in improving the understanding of gaps, in terms of training and accessibility, that limit the large-scale adoption of healthy dietary patterns. </w:t>
      </w:r>
    </w:p>
    <w:p w:rsidR="00000000" w:rsidDel="00000000" w:rsidP="00000000" w:rsidRDefault="00000000" w:rsidRPr="00000000" w14:paraId="0000000A">
      <w:pPr>
        <w:ind w:left="0" w:firstLine="0"/>
        <w:jc w:val="left"/>
        <w:rPr/>
      </w:pPr>
      <w:r w:rsidDel="00000000" w:rsidR="00000000" w:rsidRPr="00000000">
        <w:rPr>
          <w:rFonts w:ascii="Nunito Light" w:cs="Nunito Light" w:eastAsia="Nunito Light" w:hAnsi="Nunito Light"/>
          <w:rtl w:val="0"/>
        </w:rPr>
        <w:t xml:space="preserve">Since its launch in January 2023, SWITCH aims to achieve sustainable food transition through the careful assessment of the socioeconomic, environmental and nutritional dynamics of food production and consumption in different territories, while also capitalizing on their social, cultural, economic, environmental and agronomic diversity. </w:t>
      </w:r>
      <w:r w:rsidDel="00000000" w:rsidR="00000000" w:rsidRPr="00000000">
        <w:rPr>
          <w:rtl w:val="0"/>
        </w:rPr>
        <w:t xml:space="preserve">Since January, SWITCH was presented in various events, including the IMPACT THROUGH SYNERGY workshop organized by TOP SECTOR on 5th July 2023 in Amsterdam, the parallel summit event of NNEdPro’s International Summit on Nutrition and Health on the 13th July 2023, the Gastrodiplomacy Boot Camp organized by FFI with the participation of Il Gusto, Chefs’ Manifesto with a dedicated hybrid SWITCH presentation on 19th July 2023 and the Climate Shapers Boot Camp organized by FFI with a dedicated hybrid SWITCH presentation on 27th July 2023. </w:t>
      </w:r>
      <w:r w:rsidDel="00000000" w:rsidR="00000000" w:rsidRPr="00000000">
        <w:rPr>
          <w:rtl w:val="0"/>
        </w:rPr>
        <w:t xml:space="preserve">The Food Hubs were also guided through two internal capacity building workshops for Hub Leaders.</w:t>
      </w:r>
      <w:r w:rsidDel="00000000" w:rsidR="00000000" w:rsidRPr="00000000">
        <w:rPr>
          <w:rtl w:val="0"/>
        </w:rPr>
      </w:r>
    </w:p>
    <w:p w:rsidR="00000000" w:rsidDel="00000000" w:rsidP="00000000" w:rsidRDefault="00000000" w:rsidRPr="00000000" w14:paraId="0000000B">
      <w:pPr>
        <w:jc w:val="left"/>
        <w:rPr>
          <w:rFonts w:ascii="Nunito Light" w:cs="Nunito Light" w:eastAsia="Nunito Light" w:hAnsi="Nunito Light"/>
        </w:rPr>
      </w:pPr>
      <w:r w:rsidDel="00000000" w:rsidR="00000000" w:rsidRPr="00000000">
        <w:rPr>
          <w:rtl w:val="0"/>
        </w:rPr>
      </w:r>
    </w:p>
    <w:p w:rsidR="00000000" w:rsidDel="00000000" w:rsidP="00000000" w:rsidRDefault="00000000" w:rsidRPr="00000000" w14:paraId="0000000C">
      <w:pPr>
        <w:ind w:left="0" w:firstLine="0"/>
        <w:jc w:val="left"/>
        <w:rPr>
          <w:rFonts w:ascii="Nunito Light" w:cs="Nunito Light" w:eastAsia="Nunito Light" w:hAnsi="Nunito Light"/>
        </w:rPr>
      </w:pPr>
      <w:r w:rsidDel="00000000" w:rsidR="00000000" w:rsidRPr="00000000">
        <w:rPr>
          <w:rFonts w:ascii="Nunito Light" w:cs="Nunito Light" w:eastAsia="Nunito Light" w:hAnsi="Nunito Light"/>
          <w:rtl w:val="0"/>
        </w:rPr>
        <w:t xml:space="preserve">The 6 Food Hubs of SWITCH represent the food systems of a number of city region food systems (CRFS); that is, as defined by FAO, "all the actors, processes and relationships that are involved in food production, processing, distribution and consumption in a given urban region." These CRFS are geographic regions-which include one or more urban centers, and their surrounding peri-urban and rural areas-through which people, food, goods, resources and ecosystem services, and all food system actors and activities flow.</w:t>
      </w:r>
    </w:p>
    <w:p w:rsidR="00000000" w:rsidDel="00000000" w:rsidP="00000000" w:rsidRDefault="00000000" w:rsidRPr="00000000" w14:paraId="0000000D">
      <w:pPr>
        <w:spacing w:line="240" w:lineRule="auto"/>
        <w:ind w:left="0" w:firstLine="0"/>
        <w:jc w:val="left"/>
        <w:rPr>
          <w:rFonts w:ascii="Nunito Light" w:cs="Nunito Light" w:eastAsia="Nunito Light" w:hAnsi="Nunito Light"/>
        </w:rPr>
      </w:pPr>
      <w:r w:rsidDel="00000000" w:rsidR="00000000" w:rsidRPr="00000000">
        <w:rPr>
          <w:rFonts w:ascii="Nunito Light" w:cs="Nunito Light" w:eastAsia="Nunito Light" w:hAnsi="Nunito Light"/>
          <w:rtl w:val="0"/>
        </w:rPr>
        <w:t xml:space="preserve">SWITCH involves innovative actions in 6 Food Hubs across Europe: Rome and the Lazio region; Berlin and the Brandenburg region; Montpellier and the Occitania region; Cagliari and the Sardinia region; Gothenburg and the Västra Götaland region; and San Sebastian and the Basque region.</w:t>
      </w:r>
    </w:p>
    <w:p w:rsidR="00000000" w:rsidDel="00000000" w:rsidP="00000000" w:rsidRDefault="00000000" w:rsidRPr="00000000" w14:paraId="0000000E">
      <w:pPr>
        <w:spacing w:line="240" w:lineRule="auto"/>
        <w:ind w:left="0" w:firstLine="0"/>
        <w:jc w:val="left"/>
        <w:rPr>
          <w:rFonts w:ascii="Nunito Light" w:cs="Nunito Light" w:eastAsia="Nunito Light" w:hAnsi="Nunito Light"/>
        </w:rPr>
      </w:pPr>
      <w:r w:rsidDel="00000000" w:rsidR="00000000" w:rsidRPr="00000000">
        <w:rPr>
          <w:rFonts w:ascii="Nunito Light" w:cs="Nunito Light" w:eastAsia="Nunito Light" w:hAnsi="Nunito Light"/>
          <w:rtl w:val="0"/>
        </w:rPr>
        <w:t xml:space="preserve">Over four years, the Food Hubs and partners involved in the project aim to: locally implement environmental, economic, and social sustainability; improve food models and related cultural approaches; and increase knowledge, awareness, and accessibility of the demand and supply of sustainable and healthy foods. The Food Hubs and partners aim to work with a joint strategy of co-creating equitable and sustainable solutions for all consumers.</w:t>
      </w:r>
    </w:p>
    <w:p w:rsidR="00000000" w:rsidDel="00000000" w:rsidP="00000000" w:rsidRDefault="00000000" w:rsidRPr="00000000" w14:paraId="0000000F">
      <w:pPr>
        <w:spacing w:line="240" w:lineRule="auto"/>
        <w:ind w:left="0" w:firstLine="0"/>
        <w:jc w:val="left"/>
        <w:rPr>
          <w:rFonts w:ascii="Nunito Light" w:cs="Nunito Light" w:eastAsia="Nunito Light" w:hAnsi="Nunito Light"/>
        </w:rPr>
      </w:pPr>
      <w:r w:rsidDel="00000000" w:rsidR="00000000" w:rsidRPr="00000000">
        <w:rPr>
          <w:rFonts w:ascii="Nunito Light" w:cs="Nunito Light" w:eastAsia="Nunito Light" w:hAnsi="Nunito Light"/>
          <w:rtl w:val="0"/>
        </w:rPr>
        <w:t xml:space="preserve">The partners involved in the project are: CMCC - Euro-Mediterranean Center on Climate Change; BBC Innovation; DAS BAUMHAUS; Future Food Institute; IIASA; EPFL - École polytechnique fédérale de Lausanne; Kutxa Fundazioa and Kutxa Ekogunea; AGRO CAMERA (ARM); pOsti; LAORE; INRAE - Institut National de Recherche pour l'Agriculture, l'Alimentation et l'Environment; RISE - Research Institutes of Sweden; UPM; UNINA; UNICAMP; Wageningen University &amp; Research; ZALF; Chalmers Sweden; BC3; Antistatique.</w:t>
      </w:r>
    </w:p>
    <w:p w:rsidR="00000000" w:rsidDel="00000000" w:rsidP="00000000" w:rsidRDefault="00000000" w:rsidRPr="00000000" w14:paraId="00000010">
      <w:pPr>
        <w:jc w:val="left"/>
        <w:rPr>
          <w:rFonts w:ascii="Rubik Medium" w:cs="Rubik Medium" w:eastAsia="Rubik Medium" w:hAnsi="Rubik Medium"/>
          <w:sz w:val="24"/>
          <w:szCs w:val="24"/>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971550</wp:posOffset>
            </wp:positionH>
            <wp:positionV relativeFrom="paragraph">
              <wp:posOffset>56794</wp:posOffset>
            </wp:positionV>
            <wp:extent cx="3490913" cy="2534046"/>
            <wp:effectExtent b="0" l="0" r="0" t="0"/>
            <wp:wrapTopAndBottom distB="19050" distT="19050"/>
            <wp:docPr id="1" name="image3.png"/>
            <a:graphic>
              <a:graphicData uri="http://schemas.openxmlformats.org/drawingml/2006/picture">
                <pic:pic>
                  <pic:nvPicPr>
                    <pic:cNvPr id="0" name="image3.png"/>
                    <pic:cNvPicPr preferRelativeResize="0"/>
                  </pic:nvPicPr>
                  <pic:blipFill>
                    <a:blip r:embed="rId6"/>
                    <a:srcRect b="11650" l="6478" r="5648" t="9003"/>
                    <a:stretch>
                      <a:fillRect/>
                    </a:stretch>
                  </pic:blipFill>
                  <pic:spPr>
                    <a:xfrm>
                      <a:off x="0" y="0"/>
                      <a:ext cx="3490913" cy="2534046"/>
                    </a:xfrm>
                    <a:prstGeom prst="rect"/>
                    <a:ln/>
                  </pic:spPr>
                </pic:pic>
              </a:graphicData>
            </a:graphic>
          </wp:anchor>
        </w:drawing>
      </w:r>
    </w:p>
    <w:p w:rsidR="00000000" w:rsidDel="00000000" w:rsidP="00000000" w:rsidRDefault="00000000" w:rsidRPr="00000000" w14:paraId="00000011">
      <w:pPr>
        <w:jc w:val="center"/>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12">
      <w:pPr>
        <w:ind w:left="0" w:firstLine="0"/>
        <w:jc w:val="both"/>
        <w:rPr>
          <w:rFonts w:ascii="Nunito Light" w:cs="Nunito Light" w:eastAsia="Nunito Light" w:hAnsi="Nunito Light"/>
        </w:rPr>
      </w:pPr>
      <w:r w:rsidDel="00000000" w:rsidR="00000000" w:rsidRPr="00000000">
        <w:rPr>
          <w:rFonts w:ascii="Nunito Sans" w:cs="Nunito Sans" w:eastAsia="Nunito Sans" w:hAnsi="Nunito Sans"/>
        </w:rPr>
        <w:drawing>
          <wp:inline distB="114300" distT="114300" distL="114300" distR="114300">
            <wp:extent cx="1262063" cy="267924"/>
            <wp:effectExtent b="0" l="0" r="0" t="0"/>
            <wp:docPr id="5"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262063" cy="267924"/>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ind w:left="0" w:firstLine="0"/>
        <w:jc w:val="both"/>
        <w:rPr>
          <w:rFonts w:ascii="Nunito Sans" w:cs="Nunito Sans" w:eastAsia="Nunito Sans" w:hAnsi="Nunito Sans"/>
        </w:rPr>
      </w:pPr>
      <w:r w:rsidDel="00000000" w:rsidR="00000000" w:rsidRPr="00000000">
        <w:rPr>
          <w:rFonts w:ascii="Nunito Sans" w:cs="Nunito Sans" w:eastAsia="Nunito Sans" w:hAnsi="Nunito Sans"/>
          <w:rtl w:val="0"/>
        </w:rPr>
        <w:t xml:space="preserve">SWITCH - Project number: 101060483. Call:HORIZON-CL6-2021-FARM2FORK-01-15: Transition to sustainable and healthy dietary behaviour”;</w:t>
      </w:r>
    </w:p>
    <w:p w:rsidR="00000000" w:rsidDel="00000000" w:rsidP="00000000" w:rsidRDefault="00000000" w:rsidRPr="00000000" w14:paraId="00000014">
      <w:pPr>
        <w:ind w:left="0" w:firstLine="0"/>
        <w:jc w:val="both"/>
        <w:rPr>
          <w:highlight w:val="yellow"/>
        </w:rPr>
      </w:pPr>
      <w:r w:rsidDel="00000000" w:rsidR="00000000" w:rsidRPr="00000000">
        <w:rPr>
          <w:rFonts w:ascii="Nunito Sans" w:cs="Nunito Sans" w:eastAsia="Nunito Sans" w:hAnsi="Nunito Sans"/>
          <w:rtl w:val="0"/>
        </w:rPr>
        <w:t xml:space="preserve">Disclaimer: The content herein reflects only the author’s view and the European Commission is not responsible for any use that may be made of the information it contains”;</w:t>
      </w:r>
      <w:r w:rsidDel="00000000" w:rsidR="00000000" w:rsidRPr="00000000">
        <w:rPr>
          <w:rtl w:val="0"/>
        </w:rPr>
      </w:r>
    </w:p>
    <w:p w:rsidR="00000000" w:rsidDel="00000000" w:rsidP="00000000" w:rsidRDefault="00000000" w:rsidRPr="00000000" w14:paraId="00000015">
      <w:pPr>
        <w:ind w:left="0" w:firstLine="0"/>
        <w:jc w:val="both"/>
        <w:rPr/>
      </w:pPr>
      <w:r w:rsidDel="00000000" w:rsidR="00000000" w:rsidRPr="00000000">
        <w:rPr>
          <w:rtl w:val="0"/>
        </w:rPr>
      </w:r>
    </w:p>
    <w:p w:rsidR="00000000" w:rsidDel="00000000" w:rsidP="00000000" w:rsidRDefault="00000000" w:rsidRPr="00000000" w14:paraId="00000016">
      <w:pPr>
        <w:ind w:left="0" w:firstLine="0"/>
        <w:jc w:val="both"/>
        <w:rPr/>
      </w:pPr>
      <w:r w:rsidDel="00000000" w:rsidR="00000000" w:rsidRPr="00000000">
        <w:rPr>
          <w:rtl w:val="0"/>
        </w:rPr>
      </w:r>
    </w:p>
    <w:p w:rsidR="00000000" w:rsidDel="00000000" w:rsidP="00000000" w:rsidRDefault="00000000" w:rsidRPr="00000000" w14:paraId="00000017">
      <w:pPr>
        <w:ind w:left="0" w:firstLine="0"/>
        <w:jc w:val="both"/>
        <w:rPr/>
      </w:pPr>
      <w:r w:rsidDel="00000000" w:rsidR="00000000" w:rsidRPr="00000000">
        <w:rPr>
          <w:rtl w:val="0"/>
        </w:rPr>
        <w:t xml:space="preserve">For more information on the SWITCH project and its objectives, visit the official website: </w:t>
      </w:r>
      <w:hyperlink r:id="rId8">
        <w:r w:rsidDel="00000000" w:rsidR="00000000" w:rsidRPr="00000000">
          <w:rPr>
            <w:color w:val="1155cc"/>
            <w:u w:val="single"/>
            <w:rtl w:val="0"/>
          </w:rPr>
          <w:t xml:space="preserve">switchdiet.eu/</w:t>
        </w:r>
      </w:hyperlink>
      <w:r w:rsidDel="00000000" w:rsidR="00000000" w:rsidRPr="00000000">
        <w:rPr>
          <w:rtl w:val="0"/>
        </w:rPr>
        <w:t xml:space="preserve"> and social media channels: </w:t>
      </w:r>
      <w:hyperlink r:id="rId9">
        <w:r w:rsidDel="00000000" w:rsidR="00000000" w:rsidRPr="00000000">
          <w:rPr>
            <w:color w:val="1155cc"/>
            <w:highlight w:val="white"/>
            <w:u w:val="single"/>
            <w:rtl w:val="0"/>
          </w:rPr>
          <w:t xml:space="preserve">LinkedIn</w:t>
        </w:r>
      </w:hyperlink>
      <w:r w:rsidDel="00000000" w:rsidR="00000000" w:rsidRPr="00000000">
        <w:rPr>
          <w:color w:val="000000"/>
          <w:highlight w:val="white"/>
          <w:rtl w:val="0"/>
        </w:rPr>
        <w:t xml:space="preserve"> (@switchdiet); </w:t>
      </w:r>
      <w:hyperlink r:id="rId10">
        <w:r w:rsidDel="00000000" w:rsidR="00000000" w:rsidRPr="00000000">
          <w:rPr>
            <w:color w:val="1155cc"/>
            <w:highlight w:val="white"/>
            <w:u w:val="single"/>
            <w:rtl w:val="0"/>
          </w:rPr>
          <w:t xml:space="preserve">Instagram</w:t>
        </w:r>
      </w:hyperlink>
      <w:r w:rsidDel="00000000" w:rsidR="00000000" w:rsidRPr="00000000">
        <w:rPr>
          <w:color w:val="000000"/>
          <w:highlight w:val="white"/>
          <w:rtl w:val="0"/>
        </w:rPr>
        <w:t xml:space="preserve"> (@switch.diet); </w:t>
      </w:r>
      <w:hyperlink r:id="rId11">
        <w:r w:rsidDel="00000000" w:rsidR="00000000" w:rsidRPr="00000000">
          <w:rPr>
            <w:color w:val="1155cc"/>
            <w:highlight w:val="white"/>
            <w:u w:val="single"/>
            <w:rtl w:val="0"/>
          </w:rPr>
          <w:t xml:space="preserve">Facebook</w:t>
        </w:r>
      </w:hyperlink>
      <w:r w:rsidDel="00000000" w:rsidR="00000000" w:rsidRPr="00000000">
        <w:rPr>
          <w:color w:val="000000"/>
          <w:highlight w:val="white"/>
          <w:rtl w:val="0"/>
        </w:rPr>
        <w:t xml:space="preserve"> (@switch.diet.eu)</w:t>
      </w:r>
      <w:r w:rsidDel="00000000" w:rsidR="00000000" w:rsidRPr="00000000">
        <w:rPr>
          <w:sz w:val="22.079999923706055"/>
          <w:szCs w:val="22.079999923706055"/>
          <w:rtl w:val="0"/>
        </w:rPr>
        <w:t xml:space="preserve">; </w:t>
      </w:r>
      <w:hyperlink r:id="rId12">
        <w:r w:rsidDel="00000000" w:rsidR="00000000" w:rsidRPr="00000000">
          <w:rPr>
            <w:color w:val="1155cc"/>
            <w:highlight w:val="white"/>
            <w:u w:val="single"/>
            <w:rtl w:val="0"/>
          </w:rPr>
          <w:t xml:space="preserve">YouTube</w:t>
        </w:r>
      </w:hyperlink>
      <w:r w:rsidDel="00000000" w:rsidR="00000000" w:rsidRPr="00000000">
        <w:rPr>
          <w:color w:val="000000"/>
          <w:highlight w:val="white"/>
          <w:rtl w:val="0"/>
        </w:rPr>
        <w:t xml:space="preserve"> (@switchdiet); </w:t>
      </w:r>
      <w:hyperlink r:id="rId13">
        <w:r w:rsidDel="00000000" w:rsidR="00000000" w:rsidRPr="00000000">
          <w:rPr>
            <w:color w:val="1155cc"/>
            <w:highlight w:val="white"/>
            <w:u w:val="single"/>
            <w:rtl w:val="0"/>
          </w:rPr>
          <w:t xml:space="preserve">Twitter (X)</w:t>
        </w:r>
      </w:hyperlink>
      <w:r w:rsidDel="00000000" w:rsidR="00000000" w:rsidRPr="00000000">
        <w:rPr>
          <w:color w:val="000000"/>
          <w:highlight w:val="white"/>
          <w:rtl w:val="0"/>
        </w:rPr>
        <w:t xml:space="preserve"> (@switchdiet).</w:t>
      </w:r>
      <w:r w:rsidDel="00000000" w:rsidR="00000000" w:rsidRPr="00000000">
        <w:rPr>
          <w:rtl w:val="0"/>
        </w:rPr>
      </w:r>
    </w:p>
    <w:p w:rsidR="00000000" w:rsidDel="00000000" w:rsidP="00000000" w:rsidRDefault="00000000" w:rsidRPr="00000000" w14:paraId="00000018">
      <w:pPr>
        <w:jc w:val="both"/>
        <w:rPr/>
      </w:pPr>
      <w:r w:rsidDel="00000000" w:rsidR="00000000" w:rsidRPr="00000000">
        <w:rPr>
          <w:rtl w:val="0"/>
        </w:rPr>
      </w:r>
    </w:p>
    <w:p w:rsidR="00000000" w:rsidDel="00000000" w:rsidP="00000000" w:rsidRDefault="00000000" w:rsidRPr="00000000" w14:paraId="00000019">
      <w:pPr>
        <w:ind w:left="0" w:firstLine="0"/>
        <w:jc w:val="both"/>
        <w:rPr/>
      </w:pPr>
      <w:r w:rsidDel="00000000" w:rsidR="00000000" w:rsidRPr="00000000">
        <w:rPr>
          <w:rtl w:val="0"/>
        </w:rPr>
        <w:t xml:space="preserve">SWITCH communication office:</w:t>
      </w:r>
    </w:p>
    <w:p w:rsidR="00000000" w:rsidDel="00000000" w:rsidP="00000000" w:rsidRDefault="00000000" w:rsidRPr="00000000" w14:paraId="0000001A">
      <w:pPr>
        <w:jc w:val="both"/>
        <w:rPr/>
      </w:pPr>
      <w:hyperlink r:id="rId14">
        <w:r w:rsidDel="00000000" w:rsidR="00000000" w:rsidRPr="00000000">
          <w:rPr>
            <w:color w:val="1155cc"/>
            <w:u w:val="single"/>
            <w:rtl w:val="0"/>
          </w:rPr>
          <w:t xml:space="preserve">switch@futurefoodinstitute.org</w:t>
        </w:r>
      </w:hyperlink>
      <w:r w:rsidDel="00000000" w:rsidR="00000000" w:rsidRPr="00000000">
        <w:rPr>
          <w:rtl w:val="0"/>
        </w:rPr>
      </w:r>
    </w:p>
    <w:p w:rsidR="00000000" w:rsidDel="00000000" w:rsidP="00000000" w:rsidRDefault="00000000" w:rsidRPr="00000000" w14:paraId="0000001B">
      <w:pPr>
        <w:jc w:val="both"/>
        <w:rPr/>
      </w:pPr>
      <w:hyperlink r:id="rId15">
        <w:r w:rsidDel="00000000" w:rsidR="00000000" w:rsidRPr="00000000">
          <w:rPr>
            <w:color w:val="1155cc"/>
            <w:u w:val="single"/>
            <w:rtl w:val="0"/>
          </w:rPr>
          <w:t xml:space="preserve">press@futurefoodinstitute.org</w:t>
        </w:r>
      </w:hyperlink>
      <w:r w:rsidDel="00000000" w:rsidR="00000000" w:rsidRPr="00000000">
        <w:rPr>
          <w:rtl w:val="0"/>
        </w:rPr>
      </w:r>
    </w:p>
    <w:p w:rsidR="00000000" w:rsidDel="00000000" w:rsidP="00000000" w:rsidRDefault="00000000" w:rsidRPr="00000000" w14:paraId="0000001C">
      <w:pPr>
        <w:jc w:val="both"/>
        <w:rPr/>
      </w:pPr>
      <w:r w:rsidDel="00000000" w:rsidR="00000000" w:rsidRPr="00000000">
        <w:rPr>
          <w:rtl w:val="0"/>
        </w:rPr>
      </w:r>
    </w:p>
    <w:p w:rsidR="00000000" w:rsidDel="00000000" w:rsidP="00000000" w:rsidRDefault="00000000" w:rsidRPr="00000000" w14:paraId="0000001D">
      <w:pPr>
        <w:ind w:left="0" w:firstLine="0"/>
        <w:jc w:val="both"/>
        <w:rPr/>
      </w:pPr>
      <w:r w:rsidDel="00000000" w:rsidR="00000000" w:rsidRPr="00000000">
        <w:rPr>
          <w:rtl w:val="0"/>
        </w:rPr>
        <w:t xml:space="preserve">SWITCH Coordination Office:</w:t>
      </w:r>
    </w:p>
    <w:p w:rsidR="00000000" w:rsidDel="00000000" w:rsidP="00000000" w:rsidRDefault="00000000" w:rsidRPr="00000000" w14:paraId="0000001E">
      <w:pPr>
        <w:jc w:val="both"/>
        <w:rPr/>
      </w:pPr>
      <w:hyperlink r:id="rId16">
        <w:r w:rsidDel="00000000" w:rsidR="00000000" w:rsidRPr="00000000">
          <w:rPr>
            <w:color w:val="1155cc"/>
            <w:u w:val="single"/>
            <w:rtl w:val="0"/>
          </w:rPr>
          <w:t xml:space="preserve">switch.coordinationteam@cmcc.it</w:t>
        </w:r>
      </w:hyperlink>
      <w:r w:rsidDel="00000000" w:rsidR="00000000" w:rsidRPr="00000000">
        <w:rPr>
          <w:rtl w:val="0"/>
        </w:rPr>
      </w:r>
    </w:p>
    <w:p w:rsidR="00000000" w:rsidDel="00000000" w:rsidP="00000000" w:rsidRDefault="00000000" w:rsidRPr="00000000" w14:paraId="0000001F">
      <w:pPr>
        <w:ind w:left="0" w:firstLine="0"/>
        <w:jc w:val="both"/>
        <w:rPr/>
      </w:pPr>
      <w:r w:rsidDel="00000000" w:rsidR="00000000" w:rsidRPr="00000000">
        <w:rPr>
          <w:rtl w:val="0"/>
        </w:rPr>
      </w:r>
    </w:p>
    <w:p w:rsidR="00000000" w:rsidDel="00000000" w:rsidP="00000000" w:rsidRDefault="00000000" w:rsidRPr="00000000" w14:paraId="00000020">
      <w:pPr>
        <w:jc w:val="left"/>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w:t>
      </w:r>
      <w:r w:rsidDel="00000000" w:rsidR="00000000" w:rsidRPr="00000000">
        <w:rPr>
          <w:rFonts w:ascii="Rubik Medium" w:cs="Rubik Medium" w:eastAsia="Rubik Medium" w:hAnsi="Rubik Medium"/>
          <w:sz w:val="24"/>
          <w:szCs w:val="24"/>
          <w:rtl w:val="0"/>
        </w:rPr>
        <w:t xml:space="preserve">x-</w:t>
      </w:r>
    </w:p>
    <w:p w:rsidR="00000000" w:rsidDel="00000000" w:rsidP="00000000" w:rsidRDefault="00000000" w:rsidRPr="00000000" w14:paraId="00000021">
      <w:pPr>
        <w:ind w:left="0" w:firstLine="0"/>
        <w:jc w:val="left"/>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22">
      <w:pPr>
        <w:jc w:val="left"/>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23">
      <w:pPr>
        <w:jc w:val="left"/>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Pr>
        <w:drawing>
          <wp:inline distB="114300" distT="114300" distL="114300" distR="114300">
            <wp:extent cx="5731200" cy="3378200"/>
            <wp:effectExtent b="0" l="0" r="0" t="0"/>
            <wp:docPr id="2"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57312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left"/>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25">
      <w:pPr>
        <w:jc w:val="left"/>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26">
      <w:pPr>
        <w:jc w:val="left"/>
        <w:rPr>
          <w:rFonts w:ascii="Rubik Medium" w:cs="Rubik Medium" w:eastAsia="Rubik Medium" w:hAnsi="Rubik Medium"/>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7">
      <w:pPr>
        <w:jc w:val="left"/>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w:t>
      </w:r>
    </w:p>
    <w:p w:rsidR="00000000" w:rsidDel="00000000" w:rsidP="00000000" w:rsidRDefault="00000000" w:rsidRPr="00000000" w14:paraId="00000028">
      <w:pPr>
        <w:jc w:val="center"/>
        <w:rPr>
          <w:rFonts w:ascii="Rubik Medium" w:cs="Rubik Medium" w:eastAsia="Rubik Medium" w:hAnsi="Rubik Medium"/>
          <w:sz w:val="24"/>
          <w:szCs w:val="24"/>
        </w:rPr>
      </w:pPr>
      <w:r w:rsidDel="00000000" w:rsidR="00000000" w:rsidRPr="00000000">
        <w:rPr>
          <w:rtl w:val="0"/>
        </w:rPr>
      </w:r>
    </w:p>
    <w:p w:rsidR="00000000" w:rsidDel="00000000" w:rsidP="00000000" w:rsidRDefault="00000000" w:rsidRPr="00000000" w14:paraId="00000029">
      <w:pPr>
        <w:jc w:val="center"/>
        <w:rPr>
          <w:rFonts w:ascii="Rubik Medium" w:cs="Rubik Medium" w:eastAsia="Rubik Medium" w:hAnsi="Rubik Medium"/>
          <w:sz w:val="24"/>
          <w:szCs w:val="24"/>
        </w:rPr>
      </w:pPr>
      <w:r w:rsidDel="00000000" w:rsidR="00000000" w:rsidRPr="00000000">
        <w:rPr>
          <w:rFonts w:ascii="Rubik Medium" w:cs="Rubik Medium" w:eastAsia="Rubik Medium" w:hAnsi="Rubik Medium"/>
          <w:sz w:val="24"/>
          <w:szCs w:val="24"/>
          <w:rtl w:val="0"/>
        </w:rPr>
        <w:t xml:space="preserve">Innovazione per favorire la transizione alimentare sostenibile nell’Unione Europea: il progetto SWITCH</w:t>
      </w:r>
    </w:p>
    <w:p w:rsidR="00000000" w:rsidDel="00000000" w:rsidP="00000000" w:rsidRDefault="00000000" w:rsidRPr="00000000" w14:paraId="0000002A">
      <w:pPr>
        <w:rPr>
          <w:rFonts w:ascii="Rubik Medium" w:cs="Rubik Medium" w:eastAsia="Rubik Medium" w:hAnsi="Rubik Medium"/>
        </w:rPr>
      </w:pPr>
      <w:r w:rsidDel="00000000" w:rsidR="00000000" w:rsidRPr="00000000">
        <w:rPr>
          <w:rFonts w:ascii="Rubik Medium" w:cs="Rubik Medium" w:eastAsia="Rubik Medium" w:hAnsi="Rubik Medium"/>
          <w:rtl w:val="0"/>
        </w:rPr>
        <w:t xml:space="preserve">6</w:t>
      </w:r>
      <w:r w:rsidDel="00000000" w:rsidR="00000000" w:rsidRPr="00000000">
        <w:rPr>
          <w:rFonts w:ascii="Rubik Medium" w:cs="Rubik Medium" w:eastAsia="Rubik Medium" w:hAnsi="Rubik Medium"/>
          <w:rtl w:val="0"/>
        </w:rPr>
        <w:t xml:space="preserve"> Food Hubs e 20 partner per il cambiamento dei sistemi alimentari europei</w:t>
      </w:r>
      <w:r w:rsidDel="00000000" w:rsidR="00000000" w:rsidRPr="00000000">
        <w:rPr>
          <w:rtl w:val="0"/>
        </w:rPr>
      </w:r>
    </w:p>
    <w:p w:rsidR="00000000" w:rsidDel="00000000" w:rsidP="00000000" w:rsidRDefault="00000000" w:rsidRPr="00000000" w14:paraId="0000002B">
      <w:pPr>
        <w:ind w:left="0" w:firstLine="0"/>
        <w:jc w:val="left"/>
        <w:rPr>
          <w:rFonts w:ascii="Rubik Medium" w:cs="Rubik Medium" w:eastAsia="Rubik Medium" w:hAnsi="Rubik Medium"/>
        </w:rPr>
      </w:pPr>
      <w:r w:rsidDel="00000000" w:rsidR="00000000" w:rsidRPr="00000000">
        <w:rPr>
          <w:rtl w:val="0"/>
        </w:rPr>
      </w:r>
    </w:p>
    <w:p w:rsidR="00000000" w:rsidDel="00000000" w:rsidP="00000000" w:rsidRDefault="00000000" w:rsidRPr="00000000" w14:paraId="0000002C">
      <w:pPr>
        <w:jc w:val="both"/>
        <w:rPr/>
      </w:pPr>
      <w:r w:rsidDel="00000000" w:rsidR="00000000" w:rsidRPr="00000000">
        <w:rPr>
          <w:rtl w:val="0"/>
        </w:rPr>
        <w:t xml:space="preserve">Migliorare</w:t>
      </w:r>
      <w:r w:rsidDel="00000000" w:rsidR="00000000" w:rsidRPr="00000000">
        <w:rPr>
          <w:rtl w:val="0"/>
        </w:rPr>
        <w:t xml:space="preserve"> i sistemi</w:t>
      </w:r>
      <w:r w:rsidDel="00000000" w:rsidR="00000000" w:rsidRPr="00000000">
        <w:rPr>
          <w:rtl w:val="0"/>
        </w:rPr>
        <w:t xml:space="preserve"> alimentari europei per favorire una transizione alimentare giusta, salutare e sostenibile attraverso la conoscenza e l'innovazione: questo è l'obiettivo del progetto europeo SWITCH, finanziato da Horizon Europe, in linea con gli Obiettivi di Sviluppo Sostenibile delle Nazioni Unite (SDGs).</w:t>
      </w:r>
    </w:p>
    <w:p w:rsidR="00000000" w:rsidDel="00000000" w:rsidP="00000000" w:rsidRDefault="00000000" w:rsidRPr="00000000" w14:paraId="0000002D">
      <w:pPr>
        <w:jc w:val="both"/>
        <w:rPr/>
      </w:pPr>
      <w:r w:rsidDel="00000000" w:rsidR="00000000" w:rsidRPr="00000000">
        <w:rPr>
          <w:rtl w:val="0"/>
        </w:rPr>
        <w:t xml:space="preserve">Un’approfondita ricerca, un approccio scientifico e un uso sistematico delle tecnologie – lungo l'intera filiera alimentare, dalla produzione al consumo – saranno funzionali allo sviluppo di una più ampia consapevolezza e diffusione di sistemi alimentari sani e sostenibili nell'Unione Europea e al miglioramento della </w:t>
      </w:r>
      <w:r w:rsidDel="00000000" w:rsidR="00000000" w:rsidRPr="00000000">
        <w:rPr>
          <w:rtl w:val="0"/>
        </w:rPr>
        <w:t xml:space="preserve">comprensione delle lacune</w:t>
      </w:r>
      <w:r w:rsidDel="00000000" w:rsidR="00000000" w:rsidRPr="00000000">
        <w:rPr>
          <w:rtl w:val="0"/>
        </w:rPr>
        <w:t xml:space="preserve">, in termini di formazione e accessibilità, che limitano l'adozione su larga scala di modelli alimentari salutari. </w:t>
      </w:r>
    </w:p>
    <w:p w:rsidR="00000000" w:rsidDel="00000000" w:rsidP="00000000" w:rsidRDefault="00000000" w:rsidRPr="00000000" w14:paraId="0000002E">
      <w:pPr>
        <w:jc w:val="both"/>
        <w:rPr/>
      </w:pPr>
      <w:r w:rsidDel="00000000" w:rsidR="00000000" w:rsidRPr="00000000">
        <w:rPr>
          <w:rtl w:val="0"/>
        </w:rPr>
        <w:t xml:space="preserve">Sin dal suo avvio nel gennaio 2023, SWITCH si propone di raggiungere la transizione alimentare sostenibile mediante un’attenta valutazione delle dinamiche socio economiche, ambientali e nutrizionali della produzione e del consumo alimentare dei singoli territori, valorizzandone anche la diversità sociale, culturale, economica, ambientale e agronomica.</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76" w:lineRule="auto"/>
        <w:ind w:left="720" w:right="0" w:firstLine="0"/>
        <w:jc w:val="both"/>
        <w:rPr/>
      </w:pPr>
      <w:r w:rsidDel="00000000" w:rsidR="00000000" w:rsidRPr="00000000">
        <w:rPr>
          <w:rtl w:val="0"/>
        </w:rPr>
        <w:t xml:space="preserve">I 6 Food Hubs di SWITCH rappresentano i sistemi alimentari di alcune </w:t>
      </w:r>
      <w:r w:rsidDel="00000000" w:rsidR="00000000" w:rsidRPr="00000000">
        <w:rPr>
          <w:rtl w:val="0"/>
        </w:rPr>
        <w:t xml:space="preserve">regioni urbane</w:t>
      </w:r>
      <w:r w:rsidDel="00000000" w:rsidR="00000000" w:rsidRPr="00000000">
        <w:rPr>
          <w:rtl w:val="0"/>
        </w:rPr>
        <w:t xml:space="preserve"> europee </w:t>
      </w:r>
      <w:r w:rsidDel="00000000" w:rsidR="00000000" w:rsidRPr="00000000">
        <w:rPr>
          <w:rtl w:val="0"/>
        </w:rPr>
        <w:t xml:space="preserve">(CRFS)</w:t>
      </w:r>
      <w:r w:rsidDel="00000000" w:rsidR="00000000" w:rsidRPr="00000000">
        <w:rPr>
          <w:rtl w:val="0"/>
        </w:rPr>
        <w:t xml:space="preserve">; ovvero, secondo la definizione della FAO, </w:t>
      </w:r>
      <w:r w:rsidDel="00000000" w:rsidR="00000000" w:rsidRPr="00000000">
        <w:rPr>
          <w:rtl w:val="0"/>
        </w:rPr>
        <w:t xml:space="preserve">«tutti gli attori, i processi e le relazioni che sono coinvolti nella produzione, trasformazione, distribuzione e consumo alimentare in una determinata regione urbana».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Si tratta di </w:t>
      </w:r>
      <w:r w:rsidDel="00000000" w:rsidR="00000000" w:rsidRPr="00000000">
        <w:rPr>
          <w:rtl w:val="0"/>
        </w:rPr>
        <w:t xml:space="preserve">regioni geografiche – che includono uno o più centri urbani, e le loro aree circostanti, periurbane e rurali – attraverso cui fluiscono persone, cibo, beni, risorse e servizi ecosistemici, e tutti gli attori e le attività del sistema alimentare.</w:t>
      </w:r>
    </w:p>
    <w:p w:rsidR="00000000" w:rsidDel="00000000" w:rsidP="00000000" w:rsidRDefault="00000000" w:rsidRPr="00000000" w14:paraId="00000030">
      <w:pPr>
        <w:jc w:val="both"/>
        <w:rPr/>
      </w:pPr>
      <w:r w:rsidDel="00000000" w:rsidR="00000000" w:rsidRPr="00000000">
        <w:rPr>
          <w:rtl w:val="0"/>
        </w:rPr>
        <w:t xml:space="preserve">SWITCH prevede azioni innovative in 6 Food Hub in tutta Europa: Roma e la regione del Lazio; Berlino e la regione di Brandeburgo; Montpellier e la regione dell'Occitania; Cagliari e la regione della Sardegna; Göteborg e la regione di Västra Götaland; San Sebastian e la regione basca.</w:t>
      </w:r>
    </w:p>
    <w:p w:rsidR="00000000" w:rsidDel="00000000" w:rsidP="00000000" w:rsidRDefault="00000000" w:rsidRPr="00000000" w14:paraId="00000031">
      <w:pPr>
        <w:jc w:val="both"/>
        <w:rPr/>
      </w:pPr>
      <w:r w:rsidDel="00000000" w:rsidR="00000000" w:rsidRPr="00000000">
        <w:rPr>
          <w:rtl w:val="0"/>
        </w:rPr>
        <w:t xml:space="preserve">In quattro anni, i Food Hub e i partner coinvolti nel progetto – in una strategia congiunta di co-creazione di soluzioni eque e sostenibili per tutti i consumatori – puntano a: implementare localmente la sostenibilità ambientale, economica e sociale; migliorare i modelli alimentari e i relativi approcci culturali; aumentare la conoscenza, la consapevolezza e l’accessibilità della domanda e dell'offerta di cibi sostenibili e salutari.</w:t>
      </w:r>
    </w:p>
    <w:p w:rsidR="00000000" w:rsidDel="00000000" w:rsidP="00000000" w:rsidRDefault="00000000" w:rsidRPr="00000000" w14:paraId="00000032">
      <w:pPr>
        <w:jc w:val="both"/>
        <w:rPr/>
      </w:pPr>
      <w:r w:rsidDel="00000000" w:rsidR="00000000" w:rsidRPr="00000000">
        <w:rPr>
          <w:rtl w:val="0"/>
        </w:rPr>
        <w:t xml:space="preserve">I partner coinvolti nel progetto sono: </w:t>
      </w:r>
      <w:r w:rsidDel="00000000" w:rsidR="00000000" w:rsidRPr="00000000">
        <w:rPr>
          <w:rtl w:val="0"/>
        </w:rPr>
        <w:t xml:space="preserve">CMCC</w:t>
      </w:r>
      <w:r w:rsidDel="00000000" w:rsidR="00000000" w:rsidRPr="00000000">
        <w:rPr>
          <w:rtl w:val="0"/>
        </w:rPr>
        <w:t xml:space="preserve"> - Centro euro-Mediterraneo sui Cambiamenti Climatici; BBC Innovation; DAS BAUMHAUS; Future Food Institute; IIASA; </w:t>
      </w:r>
      <w:r w:rsidDel="00000000" w:rsidR="00000000" w:rsidRPr="00000000">
        <w:rPr>
          <w:rtl w:val="0"/>
        </w:rPr>
        <w:t xml:space="preserve">EPFL - École polytechnique fédérale de Lausanne</w:t>
      </w:r>
      <w:r w:rsidDel="00000000" w:rsidR="00000000" w:rsidRPr="00000000">
        <w:rPr>
          <w:rtl w:val="0"/>
        </w:rPr>
        <w:t xml:space="preserve">; Kutxa Fundazioa and Kutxa Ekogunea; AGRO CAMERA (ARM); pOsti; LAORE; INRAE - Institut National de Recherche pour l'Agriculture, l'Alimentation et l'Environment; RISE - Research Institutes of Sweden; UPM; UNINA; UNICAMP; Wageningen University &amp; Research; ZALF; Chalmers Sweden; BC3; Antistatique.</w:t>
      </w:r>
      <w:r w:rsidDel="00000000" w:rsidR="00000000" w:rsidRPr="00000000">
        <w:drawing>
          <wp:anchor allowOverlap="1" behindDoc="0" distB="19050" distT="19050" distL="19050" distR="19050" hidden="0" layoutInCell="1" locked="0" relativeHeight="0" simplePos="0">
            <wp:simplePos x="0" y="0"/>
            <wp:positionH relativeFrom="column">
              <wp:posOffset>533400</wp:posOffset>
            </wp:positionH>
            <wp:positionV relativeFrom="paragraph">
              <wp:posOffset>1600200</wp:posOffset>
            </wp:positionV>
            <wp:extent cx="3490913" cy="2534046"/>
            <wp:effectExtent b="0" l="0" r="0" t="0"/>
            <wp:wrapTopAndBottom distB="19050" distT="19050"/>
            <wp:docPr id="4" name="image3.png"/>
            <a:graphic>
              <a:graphicData uri="http://schemas.openxmlformats.org/drawingml/2006/picture">
                <pic:pic>
                  <pic:nvPicPr>
                    <pic:cNvPr id="0" name="image3.png"/>
                    <pic:cNvPicPr preferRelativeResize="0"/>
                  </pic:nvPicPr>
                  <pic:blipFill>
                    <a:blip r:embed="rId6"/>
                    <a:srcRect b="11650" l="6478" r="5648" t="9003"/>
                    <a:stretch>
                      <a:fillRect/>
                    </a:stretch>
                  </pic:blipFill>
                  <pic:spPr>
                    <a:xfrm>
                      <a:off x="0" y="0"/>
                      <a:ext cx="3490913" cy="2534046"/>
                    </a:xfrm>
                    <a:prstGeom prst="rect"/>
                    <a:ln/>
                  </pic:spPr>
                </pic:pic>
              </a:graphicData>
            </a:graphic>
          </wp:anchor>
        </w:drawing>
      </w:r>
    </w:p>
    <w:p w:rsidR="00000000" w:rsidDel="00000000" w:rsidP="00000000" w:rsidRDefault="00000000" w:rsidRPr="00000000" w14:paraId="00000033">
      <w:pPr>
        <w:ind w:left="0" w:firstLine="0"/>
        <w:jc w:val="both"/>
        <w:rPr>
          <w:highlight w:val="yellow"/>
        </w:rPr>
      </w:pPr>
      <w:r w:rsidDel="00000000" w:rsidR="00000000" w:rsidRPr="00000000">
        <w:rPr>
          <w:rtl w:val="0"/>
        </w:rPr>
      </w:r>
    </w:p>
    <w:p w:rsidR="00000000" w:rsidDel="00000000" w:rsidP="00000000" w:rsidRDefault="00000000" w:rsidRPr="00000000" w14:paraId="00000034">
      <w:pPr>
        <w:jc w:val="both"/>
        <w:rPr>
          <w:highlight w:val="yellow"/>
        </w:rPr>
      </w:pPr>
      <w:r w:rsidDel="00000000" w:rsidR="00000000" w:rsidRPr="00000000">
        <w:rPr>
          <w:rFonts w:ascii="Nunito Sans" w:cs="Nunito Sans" w:eastAsia="Nunito Sans" w:hAnsi="Nunito Sans"/>
        </w:rPr>
        <w:drawing>
          <wp:inline distB="114300" distT="114300" distL="114300" distR="114300">
            <wp:extent cx="1262063" cy="267924"/>
            <wp:effectExtent b="0" l="0" r="0" t="0"/>
            <wp:docPr id="3"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262063" cy="267924"/>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jc w:val="both"/>
        <w:rPr/>
      </w:pPr>
      <w:r w:rsidDel="00000000" w:rsidR="00000000" w:rsidRPr="00000000">
        <w:rPr>
          <w:rtl w:val="0"/>
        </w:rPr>
        <w:t xml:space="preserve">Per ulteriori informazioni sul progetto SWITCH e sui suoi obiettivi, visitare il sito web ufficiale </w:t>
      </w:r>
      <w:hyperlink r:id="rId18">
        <w:r w:rsidDel="00000000" w:rsidR="00000000" w:rsidRPr="00000000">
          <w:rPr>
            <w:color w:val="1155cc"/>
            <w:u w:val="single"/>
            <w:rtl w:val="0"/>
          </w:rPr>
          <w:t xml:space="preserve">switchdiet.eu/</w:t>
        </w:r>
      </w:hyperlink>
      <w:r w:rsidDel="00000000" w:rsidR="00000000" w:rsidRPr="00000000">
        <w:rPr>
          <w:rtl w:val="0"/>
        </w:rPr>
        <w:t xml:space="preserve">  e social media: </w:t>
      </w:r>
      <w:hyperlink r:id="rId19">
        <w:r w:rsidDel="00000000" w:rsidR="00000000" w:rsidRPr="00000000">
          <w:rPr>
            <w:color w:val="1155cc"/>
            <w:highlight w:val="white"/>
            <w:u w:val="single"/>
            <w:rtl w:val="0"/>
          </w:rPr>
          <w:t xml:space="preserve">LinkedIn</w:t>
        </w:r>
      </w:hyperlink>
      <w:r w:rsidDel="00000000" w:rsidR="00000000" w:rsidRPr="00000000">
        <w:rPr>
          <w:color w:val="000000"/>
          <w:highlight w:val="white"/>
          <w:rtl w:val="0"/>
        </w:rPr>
        <w:t xml:space="preserve"> (@switchdiet); </w:t>
      </w:r>
      <w:hyperlink r:id="rId20">
        <w:r w:rsidDel="00000000" w:rsidR="00000000" w:rsidRPr="00000000">
          <w:rPr>
            <w:color w:val="1155cc"/>
            <w:highlight w:val="white"/>
            <w:u w:val="single"/>
            <w:rtl w:val="0"/>
          </w:rPr>
          <w:t xml:space="preserve">Instagram</w:t>
        </w:r>
      </w:hyperlink>
      <w:r w:rsidDel="00000000" w:rsidR="00000000" w:rsidRPr="00000000">
        <w:rPr>
          <w:color w:val="000000"/>
          <w:highlight w:val="white"/>
          <w:rtl w:val="0"/>
        </w:rPr>
        <w:t xml:space="preserve"> (@switch.diet); </w:t>
      </w:r>
      <w:hyperlink r:id="rId21">
        <w:r w:rsidDel="00000000" w:rsidR="00000000" w:rsidRPr="00000000">
          <w:rPr>
            <w:color w:val="1155cc"/>
            <w:highlight w:val="white"/>
            <w:u w:val="single"/>
            <w:rtl w:val="0"/>
          </w:rPr>
          <w:t xml:space="preserve">Facebook</w:t>
        </w:r>
      </w:hyperlink>
      <w:r w:rsidDel="00000000" w:rsidR="00000000" w:rsidRPr="00000000">
        <w:rPr>
          <w:color w:val="000000"/>
          <w:highlight w:val="white"/>
          <w:rtl w:val="0"/>
        </w:rPr>
        <w:t xml:space="preserve"> (@switch.diet.eu)</w:t>
      </w:r>
      <w:r w:rsidDel="00000000" w:rsidR="00000000" w:rsidRPr="00000000">
        <w:rPr>
          <w:sz w:val="22.079999923706055"/>
          <w:szCs w:val="22.079999923706055"/>
          <w:rtl w:val="0"/>
        </w:rPr>
        <w:t xml:space="preserve">; </w:t>
      </w:r>
      <w:hyperlink r:id="rId22">
        <w:r w:rsidDel="00000000" w:rsidR="00000000" w:rsidRPr="00000000">
          <w:rPr>
            <w:color w:val="1155cc"/>
            <w:highlight w:val="white"/>
            <w:u w:val="single"/>
            <w:rtl w:val="0"/>
          </w:rPr>
          <w:t xml:space="preserve">YouTube</w:t>
        </w:r>
      </w:hyperlink>
      <w:r w:rsidDel="00000000" w:rsidR="00000000" w:rsidRPr="00000000">
        <w:rPr>
          <w:color w:val="000000"/>
          <w:highlight w:val="white"/>
          <w:rtl w:val="0"/>
        </w:rPr>
        <w:t xml:space="preserve"> (@switchdiet); </w:t>
      </w:r>
      <w:hyperlink r:id="rId23">
        <w:r w:rsidDel="00000000" w:rsidR="00000000" w:rsidRPr="00000000">
          <w:rPr>
            <w:color w:val="1155cc"/>
            <w:highlight w:val="white"/>
            <w:u w:val="single"/>
            <w:rtl w:val="0"/>
          </w:rPr>
          <w:t xml:space="preserve">Twitter (X)</w:t>
        </w:r>
      </w:hyperlink>
      <w:r w:rsidDel="00000000" w:rsidR="00000000" w:rsidRPr="00000000">
        <w:rPr>
          <w:color w:val="000000"/>
          <w:highlight w:val="white"/>
          <w:rtl w:val="0"/>
        </w:rPr>
        <w:t xml:space="preserve"> (@switchdiet).</w:t>
      </w:r>
      <w:r w:rsidDel="00000000" w:rsidR="00000000" w:rsidRPr="00000000">
        <w:rPr>
          <w:rtl w:val="0"/>
        </w:rPr>
      </w:r>
    </w:p>
    <w:p w:rsidR="00000000" w:rsidDel="00000000" w:rsidP="00000000" w:rsidRDefault="00000000" w:rsidRPr="00000000" w14:paraId="00000036">
      <w:pPr>
        <w:ind w:left="0" w:firstLine="0"/>
        <w:jc w:val="both"/>
        <w:rPr/>
      </w:pPr>
      <w:r w:rsidDel="00000000" w:rsidR="00000000" w:rsidRPr="00000000">
        <w:rPr>
          <w:rtl w:val="0"/>
        </w:rPr>
      </w:r>
    </w:p>
    <w:p w:rsidR="00000000" w:rsidDel="00000000" w:rsidP="00000000" w:rsidRDefault="00000000" w:rsidRPr="00000000" w14:paraId="00000037">
      <w:pPr>
        <w:ind w:left="0" w:firstLine="720"/>
        <w:jc w:val="both"/>
        <w:rPr/>
      </w:pPr>
      <w:r w:rsidDel="00000000" w:rsidR="00000000" w:rsidRPr="00000000">
        <w:rPr>
          <w:rtl w:val="0"/>
        </w:rPr>
        <w:t xml:space="preserve">Ufficio di comunicazione SWITCH:</w:t>
      </w:r>
    </w:p>
    <w:p w:rsidR="00000000" w:rsidDel="00000000" w:rsidP="00000000" w:rsidRDefault="00000000" w:rsidRPr="00000000" w14:paraId="00000038">
      <w:pPr>
        <w:jc w:val="both"/>
        <w:rPr/>
      </w:pPr>
      <w:hyperlink r:id="rId24">
        <w:r w:rsidDel="00000000" w:rsidR="00000000" w:rsidRPr="00000000">
          <w:rPr>
            <w:color w:val="1155cc"/>
            <w:u w:val="single"/>
            <w:rtl w:val="0"/>
          </w:rPr>
          <w:t xml:space="preserve">switch@futurefoodinstitute.org</w:t>
        </w:r>
      </w:hyperlink>
      <w:r w:rsidDel="00000000" w:rsidR="00000000" w:rsidRPr="00000000">
        <w:rPr>
          <w:rtl w:val="0"/>
        </w:rPr>
      </w:r>
    </w:p>
    <w:p w:rsidR="00000000" w:rsidDel="00000000" w:rsidP="00000000" w:rsidRDefault="00000000" w:rsidRPr="00000000" w14:paraId="00000039">
      <w:pPr>
        <w:jc w:val="both"/>
        <w:rPr/>
      </w:pPr>
      <w:hyperlink r:id="rId25">
        <w:r w:rsidDel="00000000" w:rsidR="00000000" w:rsidRPr="00000000">
          <w:rPr>
            <w:color w:val="1155cc"/>
            <w:u w:val="single"/>
            <w:rtl w:val="0"/>
          </w:rPr>
          <w:t xml:space="preserve">press@futurefoodinstitute.org</w:t>
        </w:r>
      </w:hyperlink>
      <w:r w:rsidDel="00000000" w:rsidR="00000000" w:rsidRPr="00000000">
        <w:rPr>
          <w:rtl w:val="0"/>
        </w:rPr>
      </w:r>
    </w:p>
    <w:p w:rsidR="00000000" w:rsidDel="00000000" w:rsidP="00000000" w:rsidRDefault="00000000" w:rsidRPr="00000000" w14:paraId="0000003A">
      <w:pPr>
        <w:jc w:val="both"/>
        <w:rPr/>
      </w:pPr>
      <w:r w:rsidDel="00000000" w:rsidR="00000000" w:rsidRPr="00000000">
        <w:rPr>
          <w:rtl w:val="0"/>
        </w:rPr>
      </w:r>
    </w:p>
    <w:p w:rsidR="00000000" w:rsidDel="00000000" w:rsidP="00000000" w:rsidRDefault="00000000" w:rsidRPr="00000000" w14:paraId="0000003B">
      <w:pPr>
        <w:ind w:left="0" w:firstLine="720"/>
        <w:jc w:val="both"/>
        <w:rPr/>
      </w:pPr>
      <w:r w:rsidDel="00000000" w:rsidR="00000000" w:rsidRPr="00000000">
        <w:rPr>
          <w:rtl w:val="0"/>
        </w:rPr>
        <w:t xml:space="preserve">Ufficio di coordinamento SWITCH:</w:t>
      </w:r>
    </w:p>
    <w:p w:rsidR="00000000" w:rsidDel="00000000" w:rsidP="00000000" w:rsidRDefault="00000000" w:rsidRPr="00000000" w14:paraId="0000003C">
      <w:pPr>
        <w:jc w:val="both"/>
        <w:rPr>
          <w:rFonts w:ascii="Nunito Sans" w:cs="Nunito Sans" w:eastAsia="Nunito Sans" w:hAnsi="Nunito Sans"/>
        </w:rPr>
      </w:pPr>
      <w:hyperlink r:id="rId26">
        <w:r w:rsidDel="00000000" w:rsidR="00000000" w:rsidRPr="00000000">
          <w:rPr>
            <w:color w:val="1155cc"/>
            <w:u w:val="single"/>
            <w:rtl w:val="0"/>
          </w:rPr>
          <w:t xml:space="preserve">switch.coordinationteam@cmcc.it</w:t>
        </w:r>
      </w:hyperlink>
      <w:r w:rsidDel="00000000" w:rsidR="00000000" w:rsidRPr="00000000">
        <w:rPr>
          <w:rtl w:val="0"/>
        </w:rPr>
      </w:r>
    </w:p>
    <w:p w:rsidR="00000000" w:rsidDel="00000000" w:rsidP="00000000" w:rsidRDefault="00000000" w:rsidRPr="00000000" w14:paraId="0000003D">
      <w:pPr>
        <w:ind w:left="720" w:firstLine="0"/>
        <w:jc w:val="both"/>
        <w:rPr>
          <w:rFonts w:ascii="Nunito Sans" w:cs="Nunito Sans" w:eastAsia="Nunito Sans" w:hAnsi="Nunito Sans"/>
        </w:rPr>
      </w:pPr>
      <w:r w:rsidDel="00000000" w:rsidR="00000000" w:rsidRPr="00000000">
        <w:rPr>
          <w:rFonts w:ascii="Nunito Sans" w:cs="Nunito Sans" w:eastAsia="Nunito Sans" w:hAnsi="Nunito Sans"/>
          <w:rtl w:val="0"/>
        </w:rPr>
        <w:t xml:space="preserve">SWITCH - Numero di progetto: 101060483. Call:HORIZON-CL6-2021-FARM2FORK-01-15: Transition to sustainable and healthy dietary behaviour";</w:t>
      </w:r>
    </w:p>
    <w:p w:rsidR="00000000" w:rsidDel="00000000" w:rsidP="00000000" w:rsidRDefault="00000000" w:rsidRPr="00000000" w14:paraId="0000003E">
      <w:pPr>
        <w:ind w:left="720" w:firstLine="0"/>
        <w:jc w:val="both"/>
        <w:rPr>
          <w:rFonts w:ascii="Nunito Sans" w:cs="Nunito Sans" w:eastAsia="Nunito Sans" w:hAnsi="Nunito Sans"/>
        </w:rPr>
      </w:pPr>
      <w:r w:rsidDel="00000000" w:rsidR="00000000" w:rsidRPr="00000000">
        <w:rPr>
          <w:rFonts w:ascii="Nunito Sans" w:cs="Nunito Sans" w:eastAsia="Nunito Sans" w:hAnsi="Nunito Sans"/>
          <w:rtl w:val="0"/>
        </w:rPr>
        <w:t xml:space="preserve">Disclaimer: il contenuto del presente documento riflette solo il punto di vista dell'autore e la Commissione europea non è responsabile per l'uso che può essere fatto delle informazioni in esso contenute";</w:t>
      </w:r>
    </w:p>
    <w:p w:rsidR="00000000" w:rsidDel="00000000" w:rsidP="00000000" w:rsidRDefault="00000000" w:rsidRPr="00000000" w14:paraId="0000003F">
      <w:pPr>
        <w:ind w:left="0" w:firstLine="0"/>
        <w:jc w:val="both"/>
        <w:rPr>
          <w:rFonts w:ascii="Nunito Sans" w:cs="Nunito Sans" w:eastAsia="Nunito Sans" w:hAnsi="Nunito Sans"/>
        </w:rPr>
      </w:pPr>
      <w:r w:rsidDel="00000000" w:rsidR="00000000" w:rsidRPr="00000000">
        <w:rPr>
          <w:rtl w:val="0"/>
        </w:rPr>
      </w:r>
    </w:p>
    <w:p w:rsidR="00000000" w:rsidDel="00000000" w:rsidP="00000000" w:rsidRDefault="00000000" w:rsidRPr="00000000" w14:paraId="00000040">
      <w:pPr>
        <w:ind w:left="0" w:firstLine="0"/>
        <w:jc w:val="both"/>
        <w:rPr>
          <w:rFonts w:ascii="Nunito Sans" w:cs="Nunito Sans" w:eastAsia="Nunito Sans" w:hAnsi="Nunito Sans"/>
          <w:b w:val="1"/>
          <w:bCs w:val="1"/>
        </w:rPr>
      </w:pPr>
      <w:r w:rsidDel="00000000" w:rsidR="00000000" w:rsidRPr="00000000">
        <w:rPr>
          <w:rFonts w:ascii="Nunito Sans" w:cs="Nunito Sans" w:eastAsia="Nunito Sans" w:hAnsi="Nunito Sans"/>
          <w:b w:val="1"/>
          <w:bCs w:val="1"/>
          <w:rtl w:val="0"/>
        </w:rPr>
        <w:t xml:space="preserve">-x-</w:t>
      </w:r>
    </w:p>
    <w:sectPr>
      <w:headerReference r:id="rId27" w:type="default"/>
      <w:headerReference r:id="rId28" w:type="first"/>
      <w:footerReference r:id="rId29" w:type="default"/>
      <w:footerReference r:id="rId30" w:type="first"/>
      <w:pgSz w:h="16834" w:w="11909" w:orient="portrait"/>
      <w:pgMar w:bottom="1940.4330708661423" w:top="1440" w:left="1440" w:right="1440" w:header="0"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Rubik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unito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ubik">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unito Light">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Nunito Sans">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ind w:left="-1417.3228346456694" w:firstLine="0"/>
      <w:rPr/>
    </w:pPr>
    <w:r w:rsidDel="00000000" w:rsidR="00000000" w:rsidRPr="00000000">
      <w:rPr>
        <w:rtl w:val="0"/>
      </w:rPr>
    </w:r>
  </w:p>
  <w:p w:rsidR="00000000" w:rsidDel="00000000" w:rsidP="00000000" w:rsidRDefault="00000000" w:rsidRPr="00000000" w14:paraId="00000045">
    <w:pPr>
      <w:ind w:left="-1417.3228346456694"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6">
    <w:pPr>
      <w:ind w:right="-891.2598425196836"/>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1">
    <w:pPr>
      <w:ind w:right="-1440"/>
      <w:rPr/>
    </w:pPr>
    <w:r w:rsidDel="00000000" w:rsidR="00000000" w:rsidRPr="00000000">
      <w:rPr/>
      <w:pict>
        <v:shape id="WordPictureWatermark2" style="position:absolute;width:595.2755905511812pt;height:841.6875339192034pt;rotation:0;z-index:-503316481;mso-position-horizontal-relative:margin;mso-position-horizontal:absolute;margin-left:-72.11220472440942pt;mso-position-vertical-relative:margin;mso-position-vertical:absolute;margin-top:-55.81594488188978pt;" alt="" type="#_x0000_t75">
          <v:imagedata cropbottom="0f" cropleft="0f" cropright="0f" croptop="0f" r:id="rId1" o:title="image5.png"/>
        </v:shape>
      </w:pict>
    </w: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3">
    <w:pPr>
      <w:ind w:hanging="1417.322834645669"/>
      <w:rPr/>
    </w:pPr>
    <w:r w:rsidDel="00000000" w:rsidR="00000000" w:rsidRPr="00000000">
      <w:rPr/>
      <w:pict>
        <v:shape id="WordPictureWatermark1" style="position:absolute;width:595.2755905511812pt;height:841.6875339192034pt;rotation:0;z-index:-503316481;mso-position-horizontal-relative:margin;mso-position-horizontal:absolute;margin-left:-70.5pt;mso-position-vertical-relative:margin;mso-position-vertical:absolute;margin-top:-72.0pt;" alt="" type="#_x0000_t75">
          <v:imagedata cropbottom="0f" cropleft="0f" cropright="0f" croptop="0f" r:id="rId1" o:title="image1.pn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unito Sans Light" w:cs="Nunito Sans Light" w:eastAsia="Nunito Sans Light" w:hAnsi="Nunito Sans Light"/>
        <w:color w:val="262626"/>
        <w:sz w:val="22"/>
        <w:szCs w:val="22"/>
        <w:lang w:val="it"/>
      </w:rPr>
    </w:rPrDefault>
    <w:pPrDefault>
      <w:pPr>
        <w:spacing w:after="120" w:line="276" w:lineRule="auto"/>
        <w:ind w:left="720" w:firstLine="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line="336" w:lineRule="auto"/>
      <w:jc w:val="both"/>
    </w:pPr>
    <w:rPr>
      <w:rFonts w:ascii="Rubik" w:cs="Rubik" w:eastAsia="Rubik" w:hAnsi="Rubik"/>
      <w:color w:val="0a8ba8"/>
      <w:sz w:val="30"/>
      <w:szCs w:val="30"/>
    </w:rPr>
  </w:style>
  <w:style w:type="paragraph" w:styleId="Heading2">
    <w:name w:val="heading 2"/>
    <w:basedOn w:val="Normal"/>
    <w:next w:val="Normal"/>
    <w:pPr>
      <w:keepNext w:val="1"/>
      <w:keepLines w:val="1"/>
      <w:spacing w:after="120" w:line="336" w:lineRule="auto"/>
      <w:ind w:left="1080" w:hanging="720"/>
      <w:jc w:val="both"/>
    </w:pPr>
    <w:rPr>
      <w:rFonts w:ascii="Rubik" w:cs="Rubik" w:eastAsia="Rubik" w:hAnsi="Rubik"/>
      <w:color w:val="0a8ba8"/>
      <w:sz w:val="26"/>
      <w:szCs w:val="26"/>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instagram.com/switch.diet/" TargetMode="External"/><Relationship Id="rId22" Type="http://schemas.openxmlformats.org/officeDocument/2006/relationships/hyperlink" Target="https://www.youtube.com/channel/UC1xQStx19n7V7iwa22DQgYA" TargetMode="External"/><Relationship Id="rId21" Type="http://schemas.openxmlformats.org/officeDocument/2006/relationships/hyperlink" Target="https://www.facebook.com/switch.diet.eu/" TargetMode="External"/><Relationship Id="rId24" Type="http://schemas.openxmlformats.org/officeDocument/2006/relationships/hyperlink" Target="mailto:switch@futurefoodinstitute.org" TargetMode="External"/><Relationship Id="rId23" Type="http://schemas.openxmlformats.org/officeDocument/2006/relationships/hyperlink" Target="https://twitter.com/switchdie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linkedin.com/company/switchdiet/" TargetMode="External"/><Relationship Id="rId26" Type="http://schemas.openxmlformats.org/officeDocument/2006/relationships/hyperlink" Target="mailto:switch.coordinationteam@cmcc.it" TargetMode="External"/><Relationship Id="rId25" Type="http://schemas.openxmlformats.org/officeDocument/2006/relationships/hyperlink" Target="mailto:press@futurefoodinstitute.org" TargetMode="External"/><Relationship Id="rId28" Type="http://schemas.openxmlformats.org/officeDocument/2006/relationships/header" Target="header2.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png"/><Relationship Id="rId29" Type="http://schemas.openxmlformats.org/officeDocument/2006/relationships/footer" Target="footer2.xml"/><Relationship Id="rId7" Type="http://schemas.openxmlformats.org/officeDocument/2006/relationships/image" Target="media/image2.jpg"/><Relationship Id="rId8" Type="http://schemas.openxmlformats.org/officeDocument/2006/relationships/hyperlink" Target="https://switchdiet.eu/" TargetMode="External"/><Relationship Id="rId30" Type="http://schemas.openxmlformats.org/officeDocument/2006/relationships/footer" Target="footer1.xml"/><Relationship Id="rId11" Type="http://schemas.openxmlformats.org/officeDocument/2006/relationships/hyperlink" Target="https://www.facebook.com/switch.diet.eu/" TargetMode="External"/><Relationship Id="rId10" Type="http://schemas.openxmlformats.org/officeDocument/2006/relationships/hyperlink" Target="https://www.instagram.com/switch.diet/" TargetMode="External"/><Relationship Id="rId13" Type="http://schemas.openxmlformats.org/officeDocument/2006/relationships/hyperlink" Target="https://twitter.com/switchdiet" TargetMode="External"/><Relationship Id="rId12" Type="http://schemas.openxmlformats.org/officeDocument/2006/relationships/hyperlink" Target="https://www.youtube.com/channel/UC1xQStx19n7V7iwa22DQgYA" TargetMode="External"/><Relationship Id="rId15" Type="http://schemas.openxmlformats.org/officeDocument/2006/relationships/hyperlink" Target="mailto:press@futurefoodinstitute.org" TargetMode="External"/><Relationship Id="rId14" Type="http://schemas.openxmlformats.org/officeDocument/2006/relationships/hyperlink" Target="mailto:switch@futurefoodinstitute.org" TargetMode="External"/><Relationship Id="rId17" Type="http://schemas.openxmlformats.org/officeDocument/2006/relationships/image" Target="media/image4.jpg"/><Relationship Id="rId16" Type="http://schemas.openxmlformats.org/officeDocument/2006/relationships/hyperlink" Target="mailto:switch.coordinationteam@cmcc.it" TargetMode="External"/><Relationship Id="rId19" Type="http://schemas.openxmlformats.org/officeDocument/2006/relationships/hyperlink" Target="https://www.linkedin.com/company/switchdiet/" TargetMode="External"/><Relationship Id="rId18" Type="http://schemas.openxmlformats.org/officeDocument/2006/relationships/hyperlink" Target="https://switchdiet.eu/" TargetMode="External"/></Relationships>
</file>

<file path=word/_rels/fontTable.xml.rels><?xml version="1.0" encoding="UTF-8" standalone="yes"?><Relationships xmlns="http://schemas.openxmlformats.org/package/2006/relationships"><Relationship Id="rId20" Type="http://schemas.openxmlformats.org/officeDocument/2006/relationships/font" Target="fonts/NunitoSans-boldItalic.ttf"/><Relationship Id="rId11" Type="http://schemas.openxmlformats.org/officeDocument/2006/relationships/font" Target="fonts/Rubik-italic.ttf"/><Relationship Id="rId10" Type="http://schemas.openxmlformats.org/officeDocument/2006/relationships/font" Target="fonts/Rubik-bold.ttf"/><Relationship Id="rId13" Type="http://schemas.openxmlformats.org/officeDocument/2006/relationships/font" Target="fonts/NunitoLight-regular.ttf"/><Relationship Id="rId12" Type="http://schemas.openxmlformats.org/officeDocument/2006/relationships/font" Target="fonts/Rubik-boldItalic.ttf"/><Relationship Id="rId1" Type="http://schemas.openxmlformats.org/officeDocument/2006/relationships/font" Target="fonts/RubikMedium-regular.ttf"/><Relationship Id="rId2" Type="http://schemas.openxmlformats.org/officeDocument/2006/relationships/font" Target="fonts/RubikMedium-bold.ttf"/><Relationship Id="rId3" Type="http://schemas.openxmlformats.org/officeDocument/2006/relationships/font" Target="fonts/RubikMedium-italic.ttf"/><Relationship Id="rId4" Type="http://schemas.openxmlformats.org/officeDocument/2006/relationships/font" Target="fonts/RubikMedium-boldItalic.ttf"/><Relationship Id="rId9" Type="http://schemas.openxmlformats.org/officeDocument/2006/relationships/font" Target="fonts/Rubik-regular.ttf"/><Relationship Id="rId15" Type="http://schemas.openxmlformats.org/officeDocument/2006/relationships/font" Target="fonts/NunitoLight-italic.ttf"/><Relationship Id="rId14" Type="http://schemas.openxmlformats.org/officeDocument/2006/relationships/font" Target="fonts/NunitoLight-bold.ttf"/><Relationship Id="rId17" Type="http://schemas.openxmlformats.org/officeDocument/2006/relationships/font" Target="fonts/NunitoSans-regular.ttf"/><Relationship Id="rId16" Type="http://schemas.openxmlformats.org/officeDocument/2006/relationships/font" Target="fonts/NunitoLight-boldItalic.ttf"/><Relationship Id="rId5" Type="http://schemas.openxmlformats.org/officeDocument/2006/relationships/font" Target="fonts/NunitoSansLight-regular.ttf"/><Relationship Id="rId19" Type="http://schemas.openxmlformats.org/officeDocument/2006/relationships/font" Target="fonts/NunitoSans-italic.ttf"/><Relationship Id="rId6" Type="http://schemas.openxmlformats.org/officeDocument/2006/relationships/font" Target="fonts/NunitoSansLight-bold.ttf"/><Relationship Id="rId18" Type="http://schemas.openxmlformats.org/officeDocument/2006/relationships/font" Target="fonts/NunitoSans-bold.ttf"/><Relationship Id="rId7" Type="http://schemas.openxmlformats.org/officeDocument/2006/relationships/font" Target="fonts/NunitoSansLight-italic.ttf"/><Relationship Id="rId8" Type="http://schemas.openxmlformats.org/officeDocument/2006/relationships/font" Target="fonts/NunitoSansLigh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